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6521"/>
        </w:tabs>
        <w:ind w:firstLine="883"/>
        <w:jc w:val="center"/>
        <w:rPr>
          <w:b/>
          <w:bCs/>
          <w:sz w:val="44"/>
        </w:rPr>
      </w:pPr>
      <w:bookmarkStart w:id="0" w:name="文件标题"/>
    </w:p>
    <w:p>
      <w:pPr>
        <w:ind w:firstLine="883"/>
        <w:jc w:val="center"/>
        <w:rPr>
          <w:b/>
          <w:bCs/>
          <w:sz w:val="44"/>
        </w:rPr>
      </w:pPr>
    </w:p>
    <w:p>
      <w:pPr>
        <w:ind w:firstLine="883"/>
        <w:jc w:val="center"/>
        <w:rPr>
          <w:b/>
          <w:bCs/>
          <w:sz w:val="44"/>
        </w:rPr>
      </w:pPr>
    </w:p>
    <w:p>
      <w:pPr>
        <w:spacing w:line="580" w:lineRule="exact"/>
        <w:ind w:firstLine="883"/>
        <w:jc w:val="center"/>
        <w:rPr>
          <w:b/>
          <w:bCs/>
          <w:sz w:val="44"/>
        </w:rPr>
      </w:pPr>
    </w:p>
    <w:p>
      <w:pPr>
        <w:spacing w:line="580" w:lineRule="exact"/>
        <w:ind w:firstLine="883"/>
        <w:rPr>
          <w:b/>
          <w:bCs/>
          <w:sz w:val="44"/>
        </w:rPr>
      </w:pPr>
    </w:p>
    <w:p>
      <w:pPr>
        <w:spacing w:line="580" w:lineRule="exact"/>
        <w:ind w:firstLine="883"/>
        <w:rPr>
          <w:b/>
          <w:bCs/>
          <w:sz w:val="44"/>
        </w:rPr>
      </w:pPr>
    </w:p>
    <w:p>
      <w:pPr>
        <w:spacing w:line="480" w:lineRule="exact"/>
        <w:rPr>
          <w:b/>
          <w:bCs/>
          <w:sz w:val="44"/>
        </w:rPr>
      </w:pPr>
    </w:p>
    <w:p>
      <w:pPr>
        <w:spacing w:line="480" w:lineRule="exact"/>
        <w:ind w:firstLine="198" w:firstLineChars="66"/>
        <w:jc w:val="center"/>
        <w:rPr>
          <w:rFonts w:ascii="仿宋" w:hAnsi="仿宋" w:eastAsia="仿宋"/>
          <w:sz w:val="30"/>
          <w:szCs w:val="30"/>
        </w:rPr>
      </w:pPr>
    </w:p>
    <w:p>
      <w:pPr>
        <w:spacing w:line="480" w:lineRule="exact"/>
        <w:ind w:firstLine="211" w:firstLineChars="66"/>
        <w:jc w:val="center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新师校字〔2020〕171号</w:t>
      </w:r>
    </w:p>
    <w:p>
      <w:pPr>
        <w:rPr>
          <w:rFonts w:asciiTheme="majorEastAsia" w:hAnsiTheme="majorEastAsia" w:eastAsiaTheme="majorEastAsia"/>
          <w:b/>
          <w:sz w:val="44"/>
          <w:szCs w:val="44"/>
        </w:rPr>
      </w:pPr>
    </w:p>
    <w:p>
      <w:pPr>
        <w:adjustRightInd w:val="0"/>
        <w:snapToGrid w:val="0"/>
        <w:spacing w:line="440" w:lineRule="exact"/>
        <w:rPr>
          <w:rFonts w:ascii="宋体" w:hAnsi="宋体"/>
          <w:b/>
          <w:sz w:val="32"/>
          <w:szCs w:val="32"/>
        </w:rPr>
      </w:pPr>
    </w:p>
    <w:bookmarkEnd w:id="0"/>
    <w:p>
      <w:pPr>
        <w:pStyle w:val="2"/>
        <w:spacing w:line="560" w:lineRule="exact"/>
        <w:rPr>
          <w:rFonts w:ascii="方正小标宋简体" w:eastAsia="方正小标宋简体"/>
          <w:lang w:bidi="ar"/>
        </w:rPr>
      </w:pPr>
      <w:bookmarkStart w:id="1" w:name="para9"/>
      <w:bookmarkEnd w:id="1"/>
      <w:r>
        <w:rPr>
          <w:rFonts w:hint="eastAsia" w:ascii="方正小标宋简体" w:eastAsia="方正小标宋简体"/>
          <w:lang w:bidi="ar"/>
        </w:rPr>
        <w:t>新疆师范大学“一流专业点”</w:t>
      </w:r>
      <w:r>
        <w:rPr>
          <w:rFonts w:hint="eastAsia" w:ascii="方正小标宋简体" w:hAnsi="宋体" w:eastAsia="方正小标宋简体" w:cs="宋体"/>
          <w:kern w:val="0"/>
          <w:lang w:bidi="ar"/>
        </w:rPr>
        <w:t>培育与建设方案</w:t>
      </w:r>
    </w:p>
    <w:p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专业是人才培养的基本单元，是建设一流本科教育的“四梁八柱”。为深入贯彻落实《关于加快建设高水平本科教育全面提高人才培养能力的意见》(教高[2018]2号)、“六卓越一拔尖”计划2.0系列文件等精神，推动新工科、新医科、新农科、新文科建设，做强一流本科、建设一流专业、培养一流人才，全面振兴本科教育，提高学校人才培养能力，实现高等教育内涵式发展，根据《教育部办公厅关于实施一流本科专业建设“双万计划”的通知》(教高厅函[2019]18号)相关要求，学校决定启动一流专业点培育与建设工作，推进一流本科教育建设，提高人才培养质量。现结合学校实际，制定此方案。</w:t>
      </w:r>
    </w:p>
    <w:p>
      <w:pPr>
        <w:pStyle w:val="3"/>
        <w:spacing w:line="560" w:lineRule="exact"/>
        <w:ind w:firstLine="723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一、指导思想</w:t>
      </w:r>
    </w:p>
    <w:p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坚持以习近平新时代中国特色社会主义思想为指导，全面贯彻落实党的十九大精神，全面贯彻党的教育方针，全面落实立德树人根本任务。坚持“以本为本、四个回归”的基本遵循，紧扣国家发展需求，以服务经济社会发展为导向，统筹学科和专业发展，突出专业特色，更新专业建设理念，深化专业综合改革，创新人才培养模式，完善协同育人和实践教学机制，构建以人才培养为中心的质量文化，深入推进专业内涵式发展，为建设一流本科教育提供有力支撑。</w:t>
      </w:r>
    </w:p>
    <w:p>
      <w:pPr>
        <w:pStyle w:val="3"/>
        <w:spacing w:line="560" w:lineRule="exact"/>
        <w:ind w:firstLine="723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二、总体思路</w:t>
      </w:r>
    </w:p>
    <w:p>
      <w:pPr>
        <w:spacing w:line="560" w:lineRule="exact"/>
        <w:ind w:firstLine="64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坚持以学校学科专业发展为基础，以“抓认证、抓规划、抓大纲、抓班子、抓团队、抓成效”为抓手，统筹设计专业发展规划，系统推进专业内涵建设，采取“自愿申报，择优遴选，重点培育，示范引领”的方式，分两年遴选18-20个一流专业点培育项目，以培养方案、课程体系、实践教学、师资队伍、协同育人、教育教学改革等内容为建设重点，改造提升传统专业，打造特色优势专业，培育建设一批一流专业点，着力提升专业建设水平，力争建成一批自治区级、国家级一流专业点。</w:t>
      </w:r>
    </w:p>
    <w:p>
      <w:pPr>
        <w:pStyle w:val="3"/>
        <w:spacing w:line="560" w:lineRule="exact"/>
        <w:ind w:firstLine="723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三、建设目标</w:t>
      </w:r>
    </w:p>
    <w:p>
      <w:pPr>
        <w:spacing w:line="560" w:lineRule="exact"/>
        <w:ind w:firstLine="64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经过三年的建设，专业内涵式发展的机制基本建立，建成一批一流本科专业。到2023年，力争9-11个左右的专业达到国家级一流专业点建设标准，15-17个左右的专业达到自治区一流专业点建设标准。</w:t>
      </w:r>
    </w:p>
    <w:p>
      <w:pPr>
        <w:pStyle w:val="3"/>
        <w:spacing w:line="560" w:lineRule="exact"/>
        <w:ind w:firstLine="723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四、遴选条件</w:t>
      </w:r>
    </w:p>
    <w:p>
      <w:pPr>
        <w:spacing w:line="560" w:lineRule="exact"/>
        <w:ind w:firstLine="64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按照“面向未来、适应需求、引领发展、理念先进、保障有力”的建设目标，在学校现有专业中遴选一批专业定位明确、专业管理规范、改革成效突出、师资力量雄厚、培养质量一流的专业作为一流专业点培育项目。培育专业原则上需要开设8年以上(服务国家及区域重大战略发展的专业不受此限),并符合《普通高等学校本科专业类教学质量国家标准》，且满足以下条件之一:</w:t>
      </w:r>
    </w:p>
    <w:p>
      <w:pPr>
        <w:spacing w:line="560" w:lineRule="exact"/>
        <w:ind w:firstLine="64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1.获得国家级特色专业、自治区特色专业、自治区重点专业、一流专业。</w:t>
      </w:r>
    </w:p>
    <w:p>
      <w:pPr>
        <w:spacing w:line="560" w:lineRule="exact"/>
        <w:ind w:firstLine="64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2.博士学位授权(点)或硕士学位授权(点)学科涵盖的专业。</w:t>
      </w:r>
    </w:p>
    <w:p>
      <w:pPr>
        <w:spacing w:line="560" w:lineRule="exact"/>
        <w:ind w:firstLine="64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3.顺应时代进步，适应经济社会发展的新兴专业和急需专业，与国家、自治区、学校发展战略高度契合的专业，如:大数据与人工智能类、师范类、新工科、新文科等专业。重视本科教学,获得与本专业相关的国家级或自治区级教学成果奖、获得与本专业相关的国家级或自治区级质量工程项目。</w:t>
      </w:r>
    </w:p>
    <w:p>
      <w:pPr>
        <w:pStyle w:val="3"/>
        <w:spacing w:line="560" w:lineRule="exact"/>
        <w:ind w:firstLine="723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五、重点建设内容</w:t>
      </w:r>
    </w:p>
    <w:p>
      <w:pPr>
        <w:spacing w:line="560" w:lineRule="exact"/>
        <w:ind w:firstLine="640"/>
        <w:rPr>
          <w:rFonts w:ascii="楷体_GB2312" w:hAnsi="楷体" w:eastAsia="楷体_GB2312" w:cs="楷体"/>
          <w:b/>
          <w:sz w:val="32"/>
          <w:szCs w:val="32"/>
        </w:rPr>
      </w:pPr>
      <w:r>
        <w:rPr>
          <w:rFonts w:hint="eastAsia" w:ascii="楷体_GB2312" w:hAnsi="楷体" w:eastAsia="楷体_GB2312" w:cs="楷体"/>
          <w:b/>
          <w:sz w:val="32"/>
          <w:szCs w:val="32"/>
        </w:rPr>
        <w:t>（一）转变专业建设理念，科学制订人才培养方案</w:t>
      </w:r>
    </w:p>
    <w:p>
      <w:pPr>
        <w:spacing w:line="560" w:lineRule="exact"/>
        <w:ind w:firstLine="64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树立“学生中心、产出导向、持续发展”的专业建设理念，明确专业定位，挖掘专业特色，彰显专业优势，</w:t>
      </w:r>
      <w:r>
        <w:rPr>
          <w:rFonts w:hint="eastAsia" w:ascii="仿宋_GB2312" w:eastAsia="仿宋_GB2312"/>
          <w:sz w:val="32"/>
          <w:szCs w:val="32"/>
        </w:rPr>
        <w:t>形成清晰的专业建设规划。坚持对标质量认证标准和本科专业教学质量国家标准，以“学科、专业、课程一体化”建设为导向，科学论证人才培养方案、人才培养目标和毕业要求，制定符合学校办学定位，凸显各专业办学特色的人才培养方案。系统构建通识与专业相衔接、学科与专业相联通、理论与实践相结合、知识与育人相融合的课程体系，制定符合专业发展方向的教学大纲和教案。不断提升课程体系对毕业要求</w:t>
      </w:r>
      <w:r>
        <w:rPr>
          <w:rFonts w:hint="eastAsia" w:ascii="仿宋_GB2312" w:hAnsi="仿宋" w:eastAsia="仿宋_GB2312" w:cs="仿宋"/>
          <w:sz w:val="32"/>
          <w:szCs w:val="32"/>
        </w:rPr>
        <w:t>的支撑度、人才培养的目标达成度和社会满意度。</w:t>
      </w:r>
    </w:p>
    <w:p>
      <w:pPr>
        <w:pStyle w:val="4"/>
        <w:spacing w:line="560" w:lineRule="exact"/>
        <w:ind w:firstLine="643"/>
        <w:rPr>
          <w:rFonts w:ascii="楷体_GB2312" w:hAnsi="仿宋" w:eastAsia="楷体_GB2312" w:cs="仿宋"/>
        </w:rPr>
      </w:pPr>
      <w:r>
        <w:rPr>
          <w:rFonts w:hint="eastAsia" w:ascii="楷体_GB2312" w:eastAsia="楷体_GB2312"/>
        </w:rPr>
        <w:t>（二）优化人才培养体系，深化人才培养模式改革</w:t>
      </w:r>
    </w:p>
    <w:p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进一步优化“基于综合，立于专业，归于个性”的人才培养体系，强化立德树人，加强思政课程建设，探索更为丰富的人才培养模式，满足人才的个性化发展需求。进一步开展“三强班级”、“三好宿舍”建设。强化创新人才培养，实施卓越人才培养计划。深化国际合作育人，拓展学生互换、学分互认等交流项目，探索与高水平大学开展的联合培养模式，扩大交流学生规模，积极开设国际化课程和全英文课程。</w:t>
      </w:r>
    </w:p>
    <w:p>
      <w:pPr>
        <w:spacing w:line="560" w:lineRule="exact"/>
        <w:ind w:firstLine="64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深化协同育人重点领域的改革，健全校企融合、科教结合等协同育人机制，探索构建课程、专业、学科联动和产(科)教融合等具有专业特色的协同育人模式。</w:t>
      </w:r>
    </w:p>
    <w:p>
      <w:pPr>
        <w:pStyle w:val="4"/>
        <w:spacing w:line="560" w:lineRule="exact"/>
        <w:ind w:firstLine="643"/>
        <w:rPr>
          <w:rFonts w:ascii="楷体_GB2312" w:eastAsia="楷体_GB2312"/>
        </w:rPr>
      </w:pPr>
      <w:r>
        <w:rPr>
          <w:rFonts w:hint="eastAsia" w:ascii="楷体_GB2312" w:eastAsia="楷体_GB2312"/>
        </w:rPr>
        <w:t>（三）着力课程资源建设，加快推进课堂教学改革</w:t>
      </w:r>
    </w:p>
    <w:p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坚持以核心课程建设为重点，以价值教育为导向，以信息技术为支撑，优化教学内容，丰富教学资源，改革教学方法，创新考核方式，建设具有“高阶性、创新性、挑战度”的课程。进一步推进教育技术与教学的深度融合，培养教师使用慕课资源，利用智慧教室等先进教学手段提升课堂的吸引力。全面提升课程质量，全力打造“线上、线下、线上线下混合、虚拟仿真、社会实践”金课，在三年之内预计建设8-10门国家级一流本科课程，32-35门自治区级一流本科课程，50-60门校级一流本科课程。</w:t>
      </w:r>
    </w:p>
    <w:p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加快推进教学方法改革，深入推广启发式、探究式、讨论式、参与式、案例式等新的教学方法，积极探索小班化教学、翻转课堂、混合式教学模式，激发学生学习志趣，提高学生的课堂参与度，引发学生深度思考，培养学生解决复杂问题的综合能力和高级思维。科学设计课程考核内容和方式，健全能力与知识考核并重的多元化学业考核评价体系。</w:t>
      </w:r>
    </w:p>
    <w:p>
      <w:pPr>
        <w:pStyle w:val="4"/>
        <w:spacing w:line="560" w:lineRule="exact"/>
        <w:ind w:firstLine="643"/>
        <w:rPr>
          <w:rFonts w:ascii="楷体_GB2312" w:eastAsia="楷体_GB2312"/>
        </w:rPr>
      </w:pPr>
      <w:r>
        <w:rPr>
          <w:rFonts w:hint="eastAsia" w:ascii="楷体_GB2312" w:eastAsia="楷体_GB2312"/>
        </w:rPr>
        <w:t>（四）加强实践平台建设，大力提升实践教学水平</w:t>
      </w:r>
    </w:p>
    <w:p>
      <w:pPr>
        <w:spacing w:line="560" w:lineRule="exact"/>
        <w:ind w:firstLine="64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综合运用校内外资源，建设数量充足的实验实习实训平台。加强实验教学资源建设，以现代教育技术为支撑，以虚拟仿真项目为重点，以创新机制为保障，建设综合性、智能化、开放性的实验教学平台。优化实验教学内容，打造“基础实验、专业实验、综合实验和创新实验”分层递进的实验教学体系。健全实践教学机制，规范实验教学管理，创造条件推进学生进课题、进实验室、进团队，切实加强实习过程管理，形成合作共赢、开放共享的实践育人机制。拓展协同育人实践平台，加强与相关政府部门、行业企业、科研院所的合作，合作办学、合</w:t>
      </w:r>
      <w:r>
        <w:rPr>
          <w:rFonts w:hint="eastAsia" w:ascii="仿宋_GB2312" w:hAnsi="仿宋" w:eastAsia="仿宋_GB2312" w:cs="仿宋"/>
          <w:sz w:val="32"/>
          <w:szCs w:val="32"/>
        </w:rPr>
        <w:t>作育人、合作就业、合作发展，共建实践育人基地。</w:t>
      </w:r>
    </w:p>
    <w:p>
      <w:pPr>
        <w:pStyle w:val="4"/>
        <w:spacing w:line="560" w:lineRule="exact"/>
        <w:ind w:firstLine="643"/>
        <w:rPr>
          <w:rFonts w:ascii="楷体_GB2312" w:eastAsia="楷体_GB2312"/>
        </w:rPr>
      </w:pPr>
      <w:r>
        <w:rPr>
          <w:rFonts w:hint="eastAsia" w:ascii="楷体_GB2312" w:eastAsia="楷体_GB2312"/>
        </w:rPr>
        <w:t>（五）加强师资队伍建设，建设高水平的教师团队</w:t>
      </w:r>
    </w:p>
    <w:p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坚持对标本科专业教学质量国家标准和质量认证标准，坚持“请进来、送出去”的教师培养方式，有计划地引进高水平教师，进一步加大我校交流学习教师规模。充分发挥名师、团队传帮带作用，建设一支师德优良、数量充足、结构合理的教师队伍。强化教师教书育人的身份定位和根本职责，严格落实教授为本科生上课制度，实现教授全员为本科生上课。加强基层教学组织建设，健全助教、教学研讨等教学管理制度，每年组织重点建设和培育专业负责人5-8人、核心基础课程负责人10-16人和骨干中青年教师20-30人，进行各类专业培训，提升教师教书育人能力。强化师德监督，引导教师以德立身，以德立学，以德施教。完善教师课堂教学评价制度。定期举行教学竞赛，促进教师成长。</w:t>
      </w:r>
    </w:p>
    <w:p>
      <w:pPr>
        <w:pStyle w:val="4"/>
        <w:spacing w:line="560" w:lineRule="exact"/>
        <w:ind w:firstLine="643"/>
        <w:rPr>
          <w:rFonts w:ascii="楷体_GB2312" w:eastAsia="楷体_GB2312"/>
        </w:rPr>
      </w:pPr>
      <w:r>
        <w:rPr>
          <w:rFonts w:hint="eastAsia" w:ascii="楷体_GB2312" w:eastAsia="楷体_GB2312"/>
        </w:rPr>
        <w:t>（六）加强质量文化建设，构建专业持续改进机制</w:t>
      </w:r>
    </w:p>
    <w:p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强化学院办学主体意识，健全内部质量保障体系。坚持学生中心、产出导向、持续改进的基本理念，建立健全自查自纠的质量保障机制并持续有效实施，将对质量的追求内化为全校师生的共同价值追求和行为自觉。对照《普通高等学校本科专业类教学质量国家标准》和有关行业标准，根据办学实际和发展目标，进行专业自我评估。积极开展各类专业认证，促进专业明晰专业特色，办出专业水平。构建用人单位、行业等利益相关方参与的社会评价机制，对培养目标的达成度进行定期评价，形成就业评价导向，有持续改进的相关机制，推进专业的持续发展和提高。</w:t>
      </w:r>
    </w:p>
    <w:p>
      <w:pPr>
        <w:pStyle w:val="4"/>
        <w:spacing w:line="560" w:lineRule="exact"/>
        <w:ind w:firstLine="643"/>
        <w:rPr>
          <w:rFonts w:ascii="楷体_GB2312" w:eastAsia="楷体_GB2312"/>
        </w:rPr>
      </w:pPr>
      <w:r>
        <w:rPr>
          <w:rFonts w:hint="eastAsia" w:ascii="楷体_GB2312" w:eastAsia="楷体_GB2312"/>
        </w:rPr>
        <w:t>（七）深化教育教学改革，培育高水平的教学成果</w:t>
      </w:r>
    </w:p>
    <w:p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面向国家长远发展战略、世界变革的趋势和日新月异的高等教育发展环境，围绕专业建设中的热点、难点、关键问题，有计划地推进教育教学改革，积极组织教师参与教育教学改革项目，精心培育和打造高水平的教学成果。强化教学改革成果的推广与应用，发挥教学成果的示范效应，以成果引导专业教师深入开展教学改革，以成果带动专业建设水平的整体提升。</w:t>
      </w:r>
    </w:p>
    <w:p>
      <w:pPr>
        <w:pStyle w:val="3"/>
        <w:spacing w:line="560" w:lineRule="exact"/>
        <w:ind w:firstLine="723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六、主要建设指标</w:t>
      </w:r>
    </w:p>
    <w:p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根据国家一流专业建设指标体系和观测点，结合我校实际着重在以下六个方面进行建设。</w:t>
      </w:r>
    </w:p>
    <w:p>
      <w:pPr>
        <w:pStyle w:val="4"/>
        <w:spacing w:line="560" w:lineRule="exact"/>
        <w:ind w:firstLine="643"/>
        <w:rPr>
          <w:rFonts w:ascii="楷体_GB2312" w:eastAsia="楷体_GB2312"/>
        </w:rPr>
      </w:pPr>
      <w:r>
        <w:rPr>
          <w:rFonts w:hint="eastAsia" w:ascii="楷体_GB2312" w:eastAsia="楷体_GB2312"/>
        </w:rPr>
        <w:t>（一）专业建设水平显著提升，建设期内达成以下目标中的1项:</w:t>
      </w:r>
    </w:p>
    <w:p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1.获批国家级一流专业点或自治区级一流专业点，并在考核期顺利通过验收。</w:t>
      </w:r>
    </w:p>
    <w:p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2.有认证要求的专业，通过或有条件通过专业认证(分级专业认证应为二级及以上)。</w:t>
      </w:r>
    </w:p>
    <w:p>
      <w:pPr>
        <w:pStyle w:val="4"/>
        <w:spacing w:line="560" w:lineRule="exact"/>
        <w:ind w:firstLine="643"/>
        <w:rPr>
          <w:rFonts w:ascii="楷体_GB2312" w:eastAsia="楷体_GB2312"/>
        </w:rPr>
      </w:pPr>
      <w:r>
        <w:rPr>
          <w:rFonts w:hint="eastAsia" w:ascii="楷体_GB2312" w:eastAsia="楷体_GB2312"/>
        </w:rPr>
        <w:t>（二）人才培养模式进一步优化，专业定位准确、特色优势突出，建设期内达成以下目标:</w:t>
      </w:r>
    </w:p>
    <w:p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1.修订本专业人才培养方案，形成5年专业发展规划。专业定位适应国家和区域经济发展需要，服务面向清晰，符合学校发展定位和办学方向，专业培养目标明确清晰，专业特色优势突出。</w:t>
      </w:r>
    </w:p>
    <w:p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2.构建“学科基础课程、专业发展课程、个性化选修课程”三位一体的专业课程框架，基本形成学科、专业和课程一体化的课程体系。</w:t>
      </w:r>
    </w:p>
    <w:p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3.卓越计划相关专业形成本专业卓越计划培养方案，并建成校级创新实验班。</w:t>
      </w:r>
    </w:p>
    <w:p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4.形成具有专业特色的协同育人模式。</w:t>
      </w:r>
    </w:p>
    <w:p>
      <w:pPr>
        <w:pStyle w:val="4"/>
        <w:spacing w:line="560" w:lineRule="exact"/>
        <w:ind w:firstLine="643"/>
        <w:rPr>
          <w:rFonts w:ascii="楷体_GB2312" w:eastAsia="楷体_GB2312"/>
        </w:rPr>
      </w:pPr>
      <w:r>
        <w:rPr>
          <w:rFonts w:hint="eastAsia" w:ascii="楷体_GB2312" w:eastAsia="楷体_GB2312"/>
        </w:rPr>
        <w:t>（三）专业综合改革取得较大进展，建设期内达成以下目标：</w:t>
      </w:r>
    </w:p>
    <w:p>
      <w:pPr>
        <w:spacing w:line="560" w:lineRule="exact"/>
        <w:ind w:firstLine="640"/>
        <w:rPr>
          <w:rFonts w:ascii="仿宋_GB2312" w:eastAsia="仿宋_GB2312"/>
          <w:color w:val="FF0000"/>
          <w:sz w:val="32"/>
          <w:szCs w:val="32"/>
          <w:highlight w:val="yellow"/>
        </w:rPr>
      </w:pPr>
      <w:r>
        <w:rPr>
          <w:rFonts w:hint="eastAsia" w:ascii="仿宋_GB2312" w:eastAsia="仿宋_GB2312"/>
          <w:sz w:val="32"/>
          <w:szCs w:val="32"/>
        </w:rPr>
        <w:t>1.新增1项自治区级（含）以上的各类教学成果。包括教学成果奖、课程建设、教材建设等成果。</w:t>
      </w:r>
    </w:p>
    <w:p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2.新增自治区级及以上教学研究与改革项目2项或校级教学研究改革项目10项。至少2项为课程思政类研究项目。</w:t>
      </w:r>
    </w:p>
    <w:p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3.新增3门校级以上一流课程。其中至少1门为课程思政类课程，2门为专业核心课。所有课程均为线上线下混合或纯线上模式类课程。</w:t>
      </w:r>
    </w:p>
    <w:p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4.公开发表教学研究与改革类论文15篇以上，其中至少2篇为核心刊物论文。（参照学校职称评审认定相关办法进行认定）</w:t>
      </w:r>
    </w:p>
    <w:p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5.新增符合专业发展建设的教材1部。</w:t>
      </w:r>
    </w:p>
    <w:p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上述1-4项为必须完成项目，第5项为结项验收时加分项目。</w:t>
      </w:r>
    </w:p>
    <w:p>
      <w:pPr>
        <w:pStyle w:val="4"/>
        <w:spacing w:line="560" w:lineRule="exact"/>
        <w:ind w:firstLine="643"/>
        <w:rPr>
          <w:rFonts w:ascii="楷体_GB2312" w:eastAsia="楷体_GB2312"/>
        </w:rPr>
      </w:pPr>
      <w:r>
        <w:rPr>
          <w:rFonts w:hint="eastAsia" w:ascii="楷体_GB2312" w:eastAsia="楷体_GB2312"/>
        </w:rPr>
        <w:t>（四）建成一批较高水平的实践平台，实践教学水平显著提升，建设期内需要达成以下目标：</w:t>
      </w:r>
    </w:p>
    <w:p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1.新增1-2个各级各类实验实践、合作交流(项目)等平台或基地。</w:t>
      </w:r>
    </w:p>
    <w:p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2.学生进课题、进实验室、进团队人数不低于20%（一个年级)。且有部分学生能通过课题研究、实验室研究完成毕业论文的撰写。</w:t>
      </w:r>
    </w:p>
    <w:p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3.实践（见习、研习、实习、实验）教学管理制度健全，标准明确，路线清晰，运行规范，记录完整，能够做到实践前明确要求、实践中有监督指导、实践后有考核评价。</w:t>
      </w:r>
    </w:p>
    <w:p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毕业设计（论文）选题符合专业培养定位与目标，能够有效达成毕业要求，严守学术道德规范，严格“不抄、不编、不水、不买”的论文写作要求；开题、查重、抽检、答辩等环节管理规范，毕业设计（论文）质量逐步提升。</w:t>
      </w:r>
    </w:p>
    <w:p>
      <w:pPr>
        <w:pStyle w:val="4"/>
        <w:spacing w:line="560" w:lineRule="exact"/>
        <w:ind w:firstLine="643"/>
        <w:rPr>
          <w:rFonts w:ascii="楷体_GB2312" w:eastAsia="楷体_GB2312"/>
        </w:rPr>
      </w:pPr>
      <w:r>
        <w:rPr>
          <w:rFonts w:hint="eastAsia" w:ascii="楷体_GB2312" w:eastAsia="楷体_GB2312"/>
        </w:rPr>
        <w:t>（五）师资队伍建设成效显著，形成一支高水平教师队伍，建设期内达成以下目标：</w:t>
      </w:r>
    </w:p>
    <w:p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专业生师比符合国家要求，高级职称所占比例不低于全校平均水平；有博士学位授权点的单位每个本科专业在岗在编教授、研究员或取得博士学位教师（不与其他本科专业交叉重复计算）应达到本专业教师的80%以上，其他单位每个本科专业在岗在编教授、研究员或取得博士学位教师（不与其他本科专业交叉重复计算）应达到本专业教师的60%以上。</w:t>
      </w:r>
    </w:p>
    <w:p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2.教授全员给本科生上课，并达到教学考核规定要求。</w:t>
      </w:r>
    </w:p>
    <w:p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3.基层教学组织运行良好，教学研究活动和对青年教师的培养机制健全，有制度有规范有记录。</w:t>
      </w:r>
    </w:p>
    <w:p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4.新增校级及以上教学名师1名或教学能手2名。</w:t>
      </w:r>
    </w:p>
    <w:p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5.新增校级及以上教学团队1个。</w:t>
      </w:r>
    </w:p>
    <w:p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6.至少3名专业教师在校级以上各类教学比赛获奖。</w:t>
      </w:r>
    </w:p>
    <w:p>
      <w:pPr>
        <w:pStyle w:val="4"/>
        <w:spacing w:line="560" w:lineRule="exact"/>
        <w:ind w:firstLine="643"/>
        <w:rPr>
          <w:rFonts w:ascii="楷体_GB2312" w:eastAsia="楷体_GB2312"/>
        </w:rPr>
      </w:pPr>
      <w:r>
        <w:rPr>
          <w:rFonts w:hint="eastAsia" w:ascii="楷体_GB2312" w:eastAsia="楷体_GB2312"/>
        </w:rPr>
        <w:t>（六）专业教师教学质量优秀，人才培养质量较高，建设期内达成以下目标：</w:t>
      </w:r>
    </w:p>
    <w:p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1.专业所有教师在专业建设期内至少申报一次教学评价，且教学评价排名在本次评价中的前40%。</w:t>
      </w:r>
    </w:p>
    <w:p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新增本专业在校学生校级以上各类比赛获奖或项目立项，其中自治区级以上比赛获奖或项目立项不低于各类别项目低限的20%。文科专业三年获得25项以上（含，下同）；理科及工科专业三年获得35项以上；体育、艺术类专业三年获得45项以上。</w:t>
      </w:r>
    </w:p>
    <w:p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3.毕业生深造率(含考研、出国、出境学习等)不低于全校平均水平，体育、艺术类专业结项时需比立项时增加20%以上。</w:t>
      </w:r>
    </w:p>
    <w:p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4.年终就业率高于学校平均水平或近三年毕业生就业率逐步提高。</w:t>
      </w:r>
    </w:p>
    <w:p>
      <w:pPr>
        <w:spacing w:line="560" w:lineRule="exact"/>
        <w:ind w:firstLine="643" w:firstLineChars="200"/>
        <w:rPr>
          <w:rFonts w:ascii="黑体" w:hAnsi="黑体" w:eastAsia="黑体" w:cs="宋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sz w:val="32"/>
          <w:szCs w:val="32"/>
        </w:rPr>
        <w:t>七、实施计划及保障</w:t>
      </w:r>
    </w:p>
    <w:p>
      <w:pPr>
        <w:pStyle w:val="4"/>
        <w:spacing w:line="560" w:lineRule="exact"/>
        <w:ind w:firstLine="643"/>
        <w:rPr>
          <w:rFonts w:ascii="楷体_GB2312" w:eastAsia="楷体_GB2312"/>
        </w:rPr>
      </w:pPr>
      <w:r>
        <w:rPr>
          <w:rFonts w:hint="eastAsia" w:ascii="楷体_GB2312" w:eastAsia="楷体_GB2312"/>
        </w:rPr>
        <w:t>（一）实施计划</w:t>
      </w:r>
    </w:p>
    <w:p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1.启动一流专业点培育计划。制定一流专业点培育方案，召开一流专业点建设启动会，部署建设工作。</w:t>
      </w:r>
    </w:p>
    <w:p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2.遴选一流专业点培育项目。按照一流专业点培育条件，确定一流专业点培育项目，签订建设任务书。</w:t>
      </w:r>
    </w:p>
    <w:p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3.组织申报各级一流专业点。按照国家和自治区一流专业点建设实施办法、遴选指标等，择优推荐申报上一级一流专业点。</w:t>
      </w:r>
    </w:p>
    <w:p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4.推进专业系统建设。202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年9月-202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年9月，学院围绕重点建设内容，通过制度建设和资源配置等保障，系统推进一流专业建设。</w:t>
      </w:r>
    </w:p>
    <w:p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5.开展检查考核验收。通过期中教学检查、年度考核等途径，保证建设有序有效推进。</w:t>
      </w:r>
      <w:bookmarkStart w:id="2" w:name="_GoBack"/>
      <w:r>
        <w:rPr>
          <w:rFonts w:hint="eastAsia" w:ascii="仿宋_GB2312" w:eastAsia="仿宋_GB2312"/>
          <w:sz w:val="32"/>
          <w:szCs w:val="32"/>
          <w:highlight w:val="yellow"/>
        </w:rPr>
        <w:t>2023年10月，</w:t>
      </w:r>
      <w:bookmarkEnd w:id="2"/>
      <w:r>
        <w:rPr>
          <w:rFonts w:hint="eastAsia" w:ascii="仿宋_GB2312" w:eastAsia="仿宋_GB2312"/>
          <w:sz w:val="32"/>
          <w:szCs w:val="32"/>
        </w:rPr>
        <w:t>组织专家，验收专业建设成果。</w:t>
      </w:r>
    </w:p>
    <w:p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highlight w:val="yellow"/>
        </w:rPr>
        <w:t>第二批一流专业点培育项目的实施计划以通知为准。</w:t>
      </w:r>
    </w:p>
    <w:p>
      <w:pPr>
        <w:pStyle w:val="4"/>
        <w:spacing w:line="560" w:lineRule="exact"/>
        <w:ind w:firstLine="643"/>
        <w:rPr>
          <w:rFonts w:ascii="楷体_GB2312" w:eastAsia="楷体_GB2312"/>
        </w:rPr>
      </w:pPr>
      <w:r>
        <w:rPr>
          <w:rFonts w:hint="eastAsia" w:ascii="楷体_GB2312" w:eastAsia="楷体_GB2312"/>
        </w:rPr>
        <w:t>（二）保障措施</w:t>
      </w:r>
    </w:p>
    <w:p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组织保障。一流专业点建设以学院为主体，实行“院长负责制”，院长负责统筹组织推进培育、申报、建设等工作，凡列入培育项目的专业，均由院长和学校签订责任书;实施年度考核，项目建设成效纳入学校绩效考核体系，与单位教学绩效挂钩。</w:t>
      </w:r>
    </w:p>
    <w:p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经费保障。一流专业点培育项目建设周期3年，具体建设时间根据评审时间确定。国家级及自治区级一流专业经费根据学校《关于下发&lt;新疆师范大学建设一流师范八个细化指导方案&gt;的通知》要求予以配套支持。校级一流专业参照自治区级一流专业经费予以支持，相关经费分年度拨付。</w:t>
      </w:r>
    </w:p>
    <w:p>
      <w:pPr>
        <w:spacing w:line="560" w:lineRule="exact"/>
        <w:ind w:firstLine="640"/>
        <w:rPr>
          <w:rFonts w:ascii="仿宋_GB2312" w:eastAsia="仿宋_GB2312"/>
          <w:color w:val="FF000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专业建设经费的使用原则上按照项目申报书中经费用途执行。主要用于师资培养培训、改善教学环境和条件、教学改革项目研究培育、校级以上教学改革项目经费配套、课程建设、教材建设、专业学生实践能力提升等方面。具体经费使用按照《新疆师范大学“自治区普通高校重点专业”建设管理办法（试行）》《新疆师范大学本科教学工程专项资金管理办法》执行，如后期发布新的资金管理办法，参照新办法执行。</w:t>
      </w:r>
    </w:p>
    <w:p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其他保障。在教学改革项目经费、教学成果奖申报名额、一流课程推荐、推免研究生指标、实习经费等方面适当向一流专业点培育项目倾斜。鼓励学院在教育教学改革项目、课程建设、资源建设等提供配套支持。</w:t>
      </w:r>
    </w:p>
    <w:p>
      <w:pPr>
        <w:pStyle w:val="4"/>
        <w:spacing w:line="560" w:lineRule="exact"/>
        <w:ind w:firstLine="643"/>
        <w:rPr>
          <w:rFonts w:ascii="楷体_GB2312" w:eastAsia="楷体_GB2312"/>
        </w:rPr>
      </w:pPr>
      <w:r>
        <w:rPr>
          <w:rFonts w:hint="eastAsia" w:ascii="楷体_GB2312" w:eastAsia="楷体_GB2312"/>
        </w:rPr>
        <w:t>（三）其他</w:t>
      </w:r>
    </w:p>
    <w:p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校予以立项培育建设的专业，如未按要求按期完成建设任务，可提出延期建设申请，经批准后，可予以延期建设，延期建设时间为1年，最长不超过2年。如延期后仍未完成建设任务，该培育建设项目将予以撤项，且撤项当年该专业所在学院绩效考核人才培养方面按0分计算，专业所在学院院长和分管副院长年度考核只能为“合格”。</w:t>
      </w:r>
    </w:p>
    <w:p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</w:p>
    <w:p>
      <w:pPr>
        <w:pStyle w:val="2"/>
        <w:spacing w:before="0" w:after="0" w:line="560" w:lineRule="exact"/>
        <w:jc w:val="center"/>
        <w:rPr>
          <w:rFonts w:ascii="仿宋_GB2312" w:hAnsi="仿宋" w:eastAsia="仿宋_GB2312"/>
          <w:sz w:val="32"/>
          <w:szCs w:val="32"/>
        </w:rPr>
      </w:pPr>
    </w:p>
    <w:p>
      <w:pPr>
        <w:ind w:firstLine="6080" w:firstLineChars="1900"/>
      </w:pPr>
      <w:r>
        <w:rPr>
          <w:rFonts w:hint="eastAsia" w:ascii="仿宋" w:hAnsi="仿宋" w:eastAsia="仿宋"/>
          <w:sz w:val="32"/>
          <w:szCs w:val="32"/>
        </w:rPr>
        <w:t>2020年12月21日</w:t>
      </w:r>
    </w:p>
    <w:p/>
    <w:p>
      <w:pPr>
        <w:spacing w:line="540" w:lineRule="exact"/>
        <w:ind w:firstLine="6080" w:firstLineChars="1900"/>
        <w:rPr>
          <w:rFonts w:ascii="仿宋" w:hAnsi="仿宋" w:eastAsia="仿宋" w:cs="仿宋_GB2312"/>
          <w:sz w:val="32"/>
          <w:szCs w:val="32"/>
        </w:rPr>
      </w:pPr>
    </w:p>
    <w:p>
      <w:pPr>
        <w:spacing w:line="540" w:lineRule="exact"/>
        <w:ind w:firstLine="6080" w:firstLineChars="1900"/>
        <w:rPr>
          <w:rFonts w:ascii="仿宋" w:hAnsi="仿宋" w:eastAsia="仿宋" w:cs="仿宋_GB2312"/>
          <w:sz w:val="32"/>
          <w:szCs w:val="32"/>
        </w:rPr>
      </w:pPr>
    </w:p>
    <w:p>
      <w:pPr>
        <w:spacing w:line="540" w:lineRule="exact"/>
        <w:ind w:firstLine="6080" w:firstLineChars="1900"/>
        <w:rPr>
          <w:rFonts w:ascii="仿宋" w:hAnsi="仿宋" w:eastAsia="仿宋" w:cs="仿宋_GB2312"/>
          <w:sz w:val="32"/>
          <w:szCs w:val="32"/>
        </w:rPr>
      </w:pPr>
    </w:p>
    <w:p>
      <w:pPr>
        <w:spacing w:line="540" w:lineRule="exact"/>
        <w:ind w:firstLine="6080" w:firstLineChars="1900"/>
        <w:rPr>
          <w:rFonts w:ascii="仿宋" w:hAnsi="仿宋" w:eastAsia="仿宋" w:cs="仿宋_GB2312"/>
          <w:sz w:val="32"/>
          <w:szCs w:val="32"/>
        </w:rPr>
      </w:pPr>
    </w:p>
    <w:p>
      <w:pPr>
        <w:spacing w:line="540" w:lineRule="exact"/>
        <w:ind w:firstLine="6080" w:firstLineChars="1900"/>
        <w:rPr>
          <w:rFonts w:ascii="仿宋" w:hAnsi="仿宋" w:eastAsia="仿宋" w:cs="仿宋_GB2312"/>
          <w:sz w:val="32"/>
          <w:szCs w:val="32"/>
        </w:rPr>
      </w:pPr>
    </w:p>
    <w:p>
      <w:pPr>
        <w:spacing w:line="540" w:lineRule="exact"/>
        <w:ind w:firstLine="6080" w:firstLineChars="1900"/>
        <w:rPr>
          <w:rFonts w:ascii="仿宋" w:hAnsi="仿宋" w:eastAsia="仿宋" w:cs="仿宋_GB2312"/>
          <w:sz w:val="32"/>
          <w:szCs w:val="32"/>
        </w:rPr>
      </w:pPr>
    </w:p>
    <w:p>
      <w:pPr>
        <w:spacing w:line="540" w:lineRule="exact"/>
        <w:ind w:firstLine="6080" w:firstLineChars="1900"/>
        <w:rPr>
          <w:rFonts w:ascii="仿宋" w:hAnsi="仿宋" w:eastAsia="仿宋" w:cs="仿宋_GB2312"/>
          <w:sz w:val="32"/>
          <w:szCs w:val="32"/>
        </w:rPr>
      </w:pPr>
    </w:p>
    <w:p>
      <w:pPr>
        <w:spacing w:line="540" w:lineRule="exact"/>
        <w:rPr>
          <w:rFonts w:ascii="仿宋" w:hAnsi="仿宋" w:eastAsia="仿宋" w:cs="仿宋_GB2312"/>
          <w:sz w:val="32"/>
          <w:szCs w:val="32"/>
        </w:rPr>
      </w:pPr>
    </w:p>
    <w:p>
      <w:pPr>
        <w:spacing w:line="540" w:lineRule="exact"/>
        <w:ind w:left="1285" w:hanging="1285" w:hangingChars="4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bCs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11430</wp:posOffset>
                </wp:positionV>
                <wp:extent cx="5715000" cy="635"/>
                <wp:effectExtent l="0" t="0" r="19050" b="37465"/>
                <wp:wrapNone/>
                <wp:docPr id="3" name="Line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6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04" o:spid="_x0000_s1026" o:spt="20" style="position:absolute;left:0pt;margin-left:0pt;margin-top:0.9pt;height:0.05pt;width:450pt;z-index:251659264;mso-width-relative:page;mso-height-relative:page;" filled="f" stroked="t" coordsize="21600,21600" o:gfxdata="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GOxu+fSAAAABAEAAA8AAAAAAAAAAQAgAAAAIgAAAGRycy9kb3du&#10;cmV2LnhtbFBLAQIUABQAAAAIAIdO4kCauVrbzAEAAKQDAAAOAAAAAAAAAAEAIAAAACEBAABkcnMv&#10;ZTJvRG9jLnhtbFBLBQYAAAAABgAGAFkBAABfBQAAAAA=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/>
          <w:sz w:val="32"/>
          <w:szCs w:val="32"/>
        </w:rPr>
        <w:t>抄送：教务处</w:t>
      </w:r>
    </w:p>
    <w:p>
      <w:pPr>
        <w:spacing w:line="540" w:lineRule="exac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31115</wp:posOffset>
                </wp:positionV>
                <wp:extent cx="5715000" cy="0"/>
                <wp:effectExtent l="0" t="0" r="19050" b="19050"/>
                <wp:wrapNone/>
                <wp:docPr id="2" name="Line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02" o:spid="_x0000_s1026" o:spt="20" style="position:absolute;left:0pt;margin-left:0pt;margin-top:2.45pt;height:0pt;width:450pt;z-index:251660288;mso-width-relative:page;mso-height-relative:page;" filled="f" stroked="t" coordsize="21600,21600" o:gfxdata="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PFErqvRAAAABAEAAA8AAAAAAAAAAQAgAAAAIgAAAGRycy9kb3ducmV2&#10;LnhtbFBLAQIUABQAAAAIAIdO4kDtynuAygEAAKEDAAAOAAAAAAAAAAEAIAAAACABAABkcnMvZTJv&#10;RG9jLnhtbFBLBQYAAAAABgAGAFkBAABc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/>
          <w:sz w:val="32"/>
          <w:szCs w:val="32"/>
        </w:rPr>
        <w:t xml:space="preserve">新疆师范大学办公室           </w:t>
      </w:r>
      <w:r>
        <w:rPr>
          <w:rFonts w:hint="eastAsia" w:ascii="仿宋" w:hAnsi="仿宋" w:eastAsia="仿宋"/>
          <w:sz w:val="32"/>
          <w:szCs w:val="32"/>
          <w:rtl/>
          <w:cs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 xml:space="preserve">      2020年12月22日印发 </w:t>
      </w:r>
    </w:p>
    <w:p>
      <w:pPr>
        <w:widowControl/>
        <w:spacing w:line="54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6350</wp:posOffset>
                </wp:positionV>
                <wp:extent cx="5715000" cy="635"/>
                <wp:effectExtent l="0" t="0" r="19050" b="37465"/>
                <wp:wrapNone/>
                <wp:docPr id="1" name="Line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6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03" o:spid="_x0000_s1026" o:spt="20" style="position:absolute;left:0pt;margin-left:0pt;margin-top:0.5pt;height:0.05pt;width:450pt;z-index:251661312;mso-width-relative:page;mso-height-relative:page;" filled="f" stroked="t" coordsize="21600,21600" o:gfxdata="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OMNXyTSAAAABAEAAA8AAAAAAAAAAQAgAAAAIgAAAGRycy9kb3du&#10;cmV2LnhtbFBLAQIUABQAAAAIAIdO4kBox10ezAEAAKQDAAAOAAAAAAAAAAEAIAAAACEBAABkcnMv&#10;ZTJvRG9jLnhtbFBLBQYAAAAABgAGAFkBAABfBQAAAAA=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</w:p>
    <w:p/>
    <w:sectPr>
      <w:footerReference r:id="rId3" w:type="default"/>
      <w:pgSz w:w="11910" w:h="16840"/>
      <w:pgMar w:top="1380" w:right="1020" w:bottom="1520" w:left="1480" w:header="0" w:footer="132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98248582"/>
    </w:sdtPr>
    <w:sdtContent>
      <w:p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12</w:t>
        </w:r>
        <w:r>
          <w:fldChar w:fldCharType="end"/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NjOTBkMmUxYWEwZWQ1NDRkYzIwM2U5NmVhZmJiMDcifQ=="/>
  </w:docVars>
  <w:rsids>
    <w:rsidRoot w:val="00BD6D1A"/>
    <w:rsid w:val="00007A13"/>
    <w:rsid w:val="000A2785"/>
    <w:rsid w:val="000A6CF1"/>
    <w:rsid w:val="00120B31"/>
    <w:rsid w:val="00130804"/>
    <w:rsid w:val="001C10ED"/>
    <w:rsid w:val="002104CA"/>
    <w:rsid w:val="00247BBE"/>
    <w:rsid w:val="00266DA1"/>
    <w:rsid w:val="003F643F"/>
    <w:rsid w:val="00487CCA"/>
    <w:rsid w:val="004C3DD3"/>
    <w:rsid w:val="005651E8"/>
    <w:rsid w:val="00596A77"/>
    <w:rsid w:val="00686D29"/>
    <w:rsid w:val="006F048B"/>
    <w:rsid w:val="007735FB"/>
    <w:rsid w:val="00922E50"/>
    <w:rsid w:val="00A159AC"/>
    <w:rsid w:val="00A951F5"/>
    <w:rsid w:val="00AE40F8"/>
    <w:rsid w:val="00B3547A"/>
    <w:rsid w:val="00B736A8"/>
    <w:rsid w:val="00B75316"/>
    <w:rsid w:val="00BD6D1A"/>
    <w:rsid w:val="00C63746"/>
    <w:rsid w:val="00E64B1E"/>
    <w:rsid w:val="039C44FD"/>
    <w:rsid w:val="13223BB5"/>
    <w:rsid w:val="148E4A96"/>
    <w:rsid w:val="2E3A714C"/>
    <w:rsid w:val="4FE61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keepNext/>
      <w:keepLines/>
      <w:spacing w:before="340" w:after="330" w:line="576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15"/>
    <w:qFormat/>
    <w:uiPriority w:val="1"/>
    <w:pPr>
      <w:autoSpaceDE w:val="0"/>
      <w:autoSpaceDN w:val="0"/>
      <w:spacing w:line="600" w:lineRule="exact"/>
      <w:ind w:left="140" w:firstLine="200" w:firstLineChars="200"/>
      <w:jc w:val="left"/>
    </w:pPr>
    <w:rPr>
      <w:rFonts w:ascii="宋体" w:hAnsi="宋体" w:eastAsia="宋体" w:cs="宋体"/>
      <w:kern w:val="0"/>
      <w:sz w:val="32"/>
      <w:szCs w:val="32"/>
    </w:rPr>
  </w:style>
  <w:style w:type="paragraph" w:styleId="6">
    <w:name w:val="Balloon Text"/>
    <w:basedOn w:val="1"/>
    <w:link w:val="13"/>
    <w:semiHidden/>
    <w:unhideWhenUsed/>
    <w:uiPriority w:val="99"/>
    <w:rPr>
      <w:sz w:val="18"/>
      <w:szCs w:val="18"/>
    </w:rPr>
  </w:style>
  <w:style w:type="paragraph" w:styleId="7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1">
    <w:name w:val="页脚 Char"/>
    <w:basedOn w:val="10"/>
    <w:link w:val="7"/>
    <w:qFormat/>
    <w:uiPriority w:val="99"/>
    <w:rPr>
      <w:sz w:val="18"/>
      <w:szCs w:val="18"/>
    </w:rPr>
  </w:style>
  <w:style w:type="character" w:customStyle="1" w:styleId="12">
    <w:name w:val="页眉 Char"/>
    <w:basedOn w:val="10"/>
    <w:link w:val="8"/>
    <w:qFormat/>
    <w:uiPriority w:val="99"/>
    <w:rPr>
      <w:sz w:val="18"/>
      <w:szCs w:val="18"/>
    </w:rPr>
  </w:style>
  <w:style w:type="character" w:customStyle="1" w:styleId="13">
    <w:name w:val="批注框文本 Char"/>
    <w:basedOn w:val="10"/>
    <w:link w:val="6"/>
    <w:semiHidden/>
    <w:uiPriority w:val="99"/>
    <w:rPr>
      <w:kern w:val="2"/>
      <w:sz w:val="18"/>
      <w:szCs w:val="18"/>
    </w:rPr>
  </w:style>
  <w:style w:type="character" w:customStyle="1" w:styleId="14">
    <w:name w:val="标题 1 Char"/>
    <w:basedOn w:val="10"/>
    <w:link w:val="2"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5">
    <w:name w:val="正文文本 Char"/>
    <w:basedOn w:val="10"/>
    <w:link w:val="5"/>
    <w:uiPriority w:val="1"/>
    <w:rPr>
      <w:rFonts w:ascii="宋体" w:hAnsi="宋体" w:eastAsia="宋体" w:cs="宋体"/>
      <w:sz w:val="32"/>
      <w:szCs w:val="32"/>
    </w:rPr>
  </w:style>
  <w:style w:type="character" w:customStyle="1" w:styleId="16">
    <w:name w:val="标题 2 Char"/>
    <w:basedOn w:val="10"/>
    <w:link w:val="3"/>
    <w:semiHidden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7">
    <w:name w:val="标题 3 Char"/>
    <w:basedOn w:val="10"/>
    <w:link w:val="4"/>
    <w:semiHidden/>
    <w:uiPriority w:val="9"/>
    <w:rPr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9A8153-918C-4497-8726-57C9AE9717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894</Words>
  <Characters>5097</Characters>
  <Lines>42</Lines>
  <Paragraphs>11</Paragraphs>
  <TotalTime>42</TotalTime>
  <ScaleCrop>false</ScaleCrop>
  <LinksUpToDate>false</LinksUpToDate>
  <CharactersWithSpaces>5980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2021-05-08T09:58:00Z</dcterms:created>
  <dc:creator>买尔哈巴·艾比布拉</dc:creator>
  <cp:lastModifiedBy>twelve</cp:lastModifiedBy>
  <cp:lastPrinted>2021-05-09T14:27:00Z</cp:lastPrinted>
  <dcterms:modified xsi:type="dcterms:W3CDTF">2023-10-31T03:16:31Z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E8C260EA85DE483BB6D7F3C9EC8DD996_12</vt:lpwstr>
  </property>
</Properties>
</file>